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13A1" w:rsidRPr="00167EA1" w:rsidRDefault="00EF13A1" w:rsidP="00EF13A1">
      <w:pPr>
        <w:pStyle w:val="Tekstpodstawowy"/>
        <w:spacing w:line="276" w:lineRule="auto"/>
        <w:jc w:val="right"/>
        <w:rPr>
          <w:rFonts w:ascii="Tahoma" w:hAnsi="Tahoma" w:cs="Tahoma"/>
          <w:i/>
          <w:iCs/>
          <w:smallCaps/>
          <w:szCs w:val="24"/>
        </w:rPr>
      </w:pPr>
      <w:r w:rsidRPr="00167EA1">
        <w:rPr>
          <w:rFonts w:ascii="Tahoma" w:hAnsi="Tahoma" w:cs="Tahoma"/>
          <w:b w:val="0"/>
          <w:bCs w:val="0"/>
          <w:szCs w:val="24"/>
        </w:rPr>
        <w:t xml:space="preserve">Załącznik nr </w:t>
      </w:r>
      <w:r w:rsidR="0086145C">
        <w:rPr>
          <w:rFonts w:ascii="Tahoma" w:hAnsi="Tahoma" w:cs="Tahoma"/>
          <w:b w:val="0"/>
          <w:bCs w:val="0"/>
          <w:szCs w:val="24"/>
        </w:rPr>
        <w:t>8</w:t>
      </w:r>
      <w:r w:rsidRPr="00167EA1">
        <w:rPr>
          <w:rFonts w:ascii="Tahoma" w:hAnsi="Tahoma" w:cs="Tahoma"/>
          <w:b w:val="0"/>
          <w:bCs w:val="0"/>
          <w:szCs w:val="24"/>
        </w:rPr>
        <w:t xml:space="preserve"> do </w:t>
      </w:r>
      <w:proofErr w:type="spellStart"/>
      <w:r w:rsidRPr="00167EA1">
        <w:rPr>
          <w:rFonts w:ascii="Tahoma" w:hAnsi="Tahoma" w:cs="Tahoma"/>
          <w:b w:val="0"/>
          <w:bCs w:val="0"/>
          <w:szCs w:val="24"/>
        </w:rPr>
        <w:t>swz</w:t>
      </w:r>
      <w:proofErr w:type="spellEnd"/>
    </w:p>
    <w:p w:rsidR="00EF13A1" w:rsidRPr="00167EA1" w:rsidRDefault="00EF13A1" w:rsidP="00EF13A1">
      <w:pPr>
        <w:pStyle w:val="Nagwek1"/>
        <w:shd w:val="clear" w:color="auto" w:fill="E6E6E6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i/>
          <w:iCs/>
          <w:smallCaps/>
          <w:sz w:val="24"/>
          <w:szCs w:val="24"/>
        </w:rPr>
        <w:t>OPIS PRZEDMIOTU ZAMÓWIENIA</w:t>
      </w:r>
    </w:p>
    <w:p w:rsidR="00EF13A1" w:rsidRDefault="00EF13A1" w:rsidP="00104F0A">
      <w:pPr>
        <w:jc w:val="right"/>
        <w:rPr>
          <w:rFonts w:ascii="Tahoma" w:hAnsi="Tahoma" w:cs="Tahoma"/>
          <w:b/>
          <w:sz w:val="24"/>
          <w:szCs w:val="24"/>
        </w:rPr>
      </w:pPr>
    </w:p>
    <w:p w:rsidR="00104F0A" w:rsidRPr="0086145C" w:rsidRDefault="00104F0A" w:rsidP="00104F0A">
      <w:pPr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>Przedmiotem zamówienia jest modernizacja oświetlenia ulicznego na terenie gminy Opinogóra Górna w następujących zakresach:</w:t>
      </w:r>
    </w:p>
    <w:p w:rsidR="00104F0A" w:rsidRPr="0086145C" w:rsidRDefault="003C1C41" w:rsidP="00104F0A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 xml:space="preserve">dostawa i </w:t>
      </w:r>
      <w:r w:rsidR="00104F0A" w:rsidRPr="0086145C">
        <w:rPr>
          <w:rFonts w:ascii="Tahoma" w:hAnsi="Tahoma" w:cs="Tahoma"/>
          <w:sz w:val="24"/>
          <w:szCs w:val="24"/>
        </w:rPr>
        <w:t>wymiana istniejących opraw oświetleniowych ulicznych starego typu na oprawy LED w ilości 454 sztuki</w:t>
      </w:r>
      <w:r w:rsidR="009803E1" w:rsidRPr="0086145C">
        <w:rPr>
          <w:rFonts w:ascii="Tahoma" w:hAnsi="Tahoma" w:cs="Tahoma"/>
          <w:sz w:val="24"/>
          <w:szCs w:val="24"/>
        </w:rPr>
        <w:t>, w tym dostawa i montaż 10 sztuk opraw ozdobnych</w:t>
      </w:r>
      <w:r w:rsidR="00104F0A" w:rsidRPr="0086145C">
        <w:rPr>
          <w:rFonts w:ascii="Tahoma" w:hAnsi="Tahoma" w:cs="Tahoma"/>
          <w:sz w:val="24"/>
          <w:szCs w:val="24"/>
        </w:rPr>
        <w:t>;</w:t>
      </w:r>
    </w:p>
    <w:p w:rsidR="00104F0A" w:rsidRPr="0086145C" w:rsidRDefault="00104F0A" w:rsidP="009803E1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 xml:space="preserve">dostawa 55 szt. sterowników grupowego systemu sterowania oświetleniem do zamontowania w </w:t>
      </w:r>
      <w:r w:rsidR="00865E92" w:rsidRPr="0086145C">
        <w:rPr>
          <w:rFonts w:ascii="Tahoma" w:hAnsi="Tahoma" w:cs="Tahoma"/>
          <w:sz w:val="24"/>
          <w:szCs w:val="24"/>
        </w:rPr>
        <w:t xml:space="preserve">istniejących </w:t>
      </w:r>
      <w:r w:rsidR="009803E1" w:rsidRPr="0086145C">
        <w:rPr>
          <w:rFonts w:ascii="Tahoma" w:hAnsi="Tahoma" w:cs="Tahoma"/>
          <w:sz w:val="24"/>
          <w:szCs w:val="24"/>
        </w:rPr>
        <w:t>szafach oświetleniowych.</w:t>
      </w:r>
    </w:p>
    <w:p w:rsidR="00DA31BB" w:rsidRPr="00DA31BB" w:rsidRDefault="00DA31BB" w:rsidP="00DA31BB">
      <w:pPr>
        <w:rPr>
          <w:rFonts w:ascii="Tahoma" w:hAnsi="Tahoma" w:cs="Tahoma"/>
          <w:b/>
          <w:bCs/>
          <w:sz w:val="24"/>
          <w:szCs w:val="24"/>
        </w:rPr>
      </w:pPr>
      <w:r w:rsidRPr="00DA31BB">
        <w:rPr>
          <w:rFonts w:ascii="Tahoma" w:hAnsi="Tahoma" w:cs="Tahoma"/>
          <w:b/>
          <w:bCs/>
          <w:sz w:val="24"/>
          <w:szCs w:val="24"/>
        </w:rPr>
        <w:t>Wymiana istniejących opraw oświetleniowych ulicznych</w:t>
      </w:r>
      <w:r w:rsidR="00C80481">
        <w:rPr>
          <w:rFonts w:ascii="Tahoma" w:hAnsi="Tahoma" w:cs="Tahoma"/>
          <w:b/>
          <w:bCs/>
          <w:sz w:val="24"/>
          <w:szCs w:val="24"/>
        </w:rPr>
        <w:t xml:space="preserve"> i parkowych ozdobnych</w:t>
      </w:r>
      <w:r w:rsidRPr="00DA31BB">
        <w:rPr>
          <w:rFonts w:ascii="Tahoma" w:hAnsi="Tahoma" w:cs="Tahoma"/>
          <w:b/>
          <w:bCs/>
          <w:sz w:val="24"/>
          <w:szCs w:val="24"/>
        </w:rPr>
        <w:t>.</w:t>
      </w:r>
    </w:p>
    <w:p w:rsidR="00DA31BB" w:rsidRPr="0086145C" w:rsidRDefault="00DA31BB" w:rsidP="00024C27">
      <w:pPr>
        <w:pStyle w:val="Akapitzlist"/>
        <w:numPr>
          <w:ilvl w:val="0"/>
          <w:numId w:val="8"/>
        </w:numPr>
        <w:ind w:left="426" w:hanging="426"/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 xml:space="preserve">Moc sumaryczna 454 opraw po wybudowaniu, bez uwzględnienia zmiennego profilu mocy, nie może przekroczyć 16.000 W. </w:t>
      </w:r>
    </w:p>
    <w:p w:rsidR="00DA31BB" w:rsidRPr="0086145C" w:rsidRDefault="00DA31BB" w:rsidP="00024C27">
      <w:pPr>
        <w:pStyle w:val="Akapitzlist"/>
        <w:numPr>
          <w:ilvl w:val="0"/>
          <w:numId w:val="8"/>
        </w:numPr>
        <w:ind w:left="426" w:hanging="426"/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 xml:space="preserve">Założenia: </w:t>
      </w:r>
    </w:p>
    <w:p w:rsidR="00C80481" w:rsidRPr="0086145C" w:rsidRDefault="00C80481" w:rsidP="00AE192C">
      <w:pPr>
        <w:pStyle w:val="Akapitzlist"/>
        <w:numPr>
          <w:ilvl w:val="0"/>
          <w:numId w:val="7"/>
        </w:numPr>
        <w:ind w:left="851" w:hanging="425"/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>10 opraw ozdobnych;</w:t>
      </w:r>
    </w:p>
    <w:p w:rsidR="00DA31BB" w:rsidRPr="0086145C" w:rsidRDefault="00DA31BB" w:rsidP="00AE192C">
      <w:pPr>
        <w:pStyle w:val="Akapitzlist"/>
        <w:numPr>
          <w:ilvl w:val="0"/>
          <w:numId w:val="7"/>
        </w:numPr>
        <w:ind w:left="851" w:hanging="425"/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>15 opraw na drodze krajowej o dużym natężeniu ruchu – klasa M3, wysokość zawieszenia 8-9m, minimalny strumień świetlny oprawy 10.000 lm</w:t>
      </w:r>
      <w:r w:rsidR="007C7BAE" w:rsidRPr="0086145C">
        <w:rPr>
          <w:rFonts w:ascii="Tahoma" w:hAnsi="Tahoma" w:cs="Tahoma"/>
          <w:sz w:val="24"/>
          <w:szCs w:val="24"/>
        </w:rPr>
        <w:t>;</w:t>
      </w:r>
    </w:p>
    <w:p w:rsidR="00DA31BB" w:rsidRPr="0086145C" w:rsidRDefault="00DA31BB" w:rsidP="00AE192C">
      <w:pPr>
        <w:pStyle w:val="Akapitzlist"/>
        <w:numPr>
          <w:ilvl w:val="0"/>
          <w:numId w:val="7"/>
        </w:numPr>
        <w:ind w:left="851" w:hanging="425"/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>38 opraw na drodze wojewódzkiej o dużym natężeniu ruchu – klasa M3/M4,wysokość zawieszenia 8-9m, minimalny strumień świetlny oprawy 7.000 lm</w:t>
      </w:r>
      <w:r w:rsidR="007C7BAE" w:rsidRPr="0086145C">
        <w:rPr>
          <w:rFonts w:ascii="Tahoma" w:hAnsi="Tahoma" w:cs="Tahoma"/>
          <w:sz w:val="24"/>
          <w:szCs w:val="24"/>
        </w:rPr>
        <w:t>;</w:t>
      </w:r>
    </w:p>
    <w:p w:rsidR="00DA31BB" w:rsidRPr="0086145C" w:rsidRDefault="00DA31BB" w:rsidP="00AE192C">
      <w:pPr>
        <w:pStyle w:val="Akapitzlist"/>
        <w:numPr>
          <w:ilvl w:val="0"/>
          <w:numId w:val="7"/>
        </w:numPr>
        <w:ind w:left="851" w:hanging="425"/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>94 oprawy na drogach powiatowych i gminnych – klasa M4/M5 – wysokość                  zawieszenia 8m, minimalny strumień oprawy 5.600 lm</w:t>
      </w:r>
      <w:r w:rsidR="007C7BAE" w:rsidRPr="0086145C">
        <w:rPr>
          <w:rFonts w:ascii="Tahoma" w:hAnsi="Tahoma" w:cs="Tahoma"/>
          <w:sz w:val="24"/>
          <w:szCs w:val="24"/>
        </w:rPr>
        <w:t>;</w:t>
      </w:r>
    </w:p>
    <w:p w:rsidR="0086145C" w:rsidRDefault="00DA31BB" w:rsidP="0086145C">
      <w:pPr>
        <w:pStyle w:val="Akapitzlist"/>
        <w:numPr>
          <w:ilvl w:val="0"/>
          <w:numId w:val="7"/>
        </w:numPr>
        <w:ind w:left="851" w:hanging="425"/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>135 opraw na drogach powiatowych i gminnych – klasa M5/M6 – wysokość                  zawieszenia 7m, minimalny strumień oprawy 4.500 lm</w:t>
      </w:r>
      <w:r w:rsidR="007C7BAE" w:rsidRPr="0086145C">
        <w:rPr>
          <w:rFonts w:ascii="Tahoma" w:hAnsi="Tahoma" w:cs="Tahoma"/>
          <w:sz w:val="24"/>
          <w:szCs w:val="24"/>
        </w:rPr>
        <w:t>;</w:t>
      </w:r>
    </w:p>
    <w:p w:rsidR="00DA31BB" w:rsidRPr="0086145C" w:rsidRDefault="007C7BAE" w:rsidP="0086145C">
      <w:pPr>
        <w:pStyle w:val="Akapitzlist"/>
        <w:numPr>
          <w:ilvl w:val="0"/>
          <w:numId w:val="7"/>
        </w:numPr>
        <w:ind w:left="851" w:hanging="425"/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>p</w:t>
      </w:r>
      <w:r w:rsidR="00DA31BB" w:rsidRPr="0086145C">
        <w:rPr>
          <w:rFonts w:ascii="Tahoma" w:hAnsi="Tahoma" w:cs="Tahoma"/>
          <w:sz w:val="24"/>
          <w:szCs w:val="24"/>
        </w:rPr>
        <w:t>ozostałe oprawy na drogach gminnych – klasa M6, S3-S4, P2-P4</w:t>
      </w:r>
      <w:r w:rsidRPr="0086145C">
        <w:rPr>
          <w:rFonts w:ascii="Tahoma" w:hAnsi="Tahoma" w:cs="Tahoma"/>
          <w:sz w:val="24"/>
          <w:szCs w:val="24"/>
        </w:rPr>
        <w:t>.</w:t>
      </w:r>
    </w:p>
    <w:p w:rsidR="00DA31BB" w:rsidRPr="00865E92" w:rsidRDefault="00DA31BB" w:rsidP="00024C27">
      <w:pPr>
        <w:pStyle w:val="Akapitzlist"/>
        <w:numPr>
          <w:ilvl w:val="0"/>
          <w:numId w:val="8"/>
        </w:numPr>
        <w:ind w:left="426"/>
        <w:rPr>
          <w:rFonts w:ascii="Tahoma" w:hAnsi="Tahoma" w:cs="Tahoma"/>
          <w:sz w:val="24"/>
          <w:szCs w:val="24"/>
        </w:rPr>
      </w:pPr>
      <w:r w:rsidRPr="00865E92">
        <w:rPr>
          <w:rFonts w:ascii="Tahoma" w:hAnsi="Tahoma" w:cs="Tahoma"/>
          <w:sz w:val="24"/>
          <w:szCs w:val="24"/>
        </w:rPr>
        <w:t>Wymagania techniczne dotyczące opraw oświetleniowych:</w:t>
      </w:r>
    </w:p>
    <w:p w:rsidR="00DA31BB" w:rsidRPr="00DA31BB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t>korpus oprawy wykonany z odlewu aluminium, malowanego proszkowo</w:t>
      </w:r>
      <w:r w:rsidR="00C80481">
        <w:rPr>
          <w:rFonts w:ascii="Tahoma" w:hAnsi="Tahoma" w:cs="Tahoma"/>
          <w:sz w:val="24"/>
          <w:szCs w:val="24"/>
        </w:rPr>
        <w:t>;</w:t>
      </w:r>
    </w:p>
    <w:p w:rsidR="00DA31BB" w:rsidRPr="00DA31BB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t>korpus oraz pokrywa odporna na czynniki atmosferyczne i promieniowanie UV</w:t>
      </w:r>
      <w:r w:rsidR="00C80481">
        <w:rPr>
          <w:rFonts w:ascii="Tahoma" w:hAnsi="Tahoma" w:cs="Tahoma"/>
          <w:sz w:val="24"/>
          <w:szCs w:val="24"/>
        </w:rPr>
        <w:t>;</w:t>
      </w:r>
    </w:p>
    <w:p w:rsidR="00DA31BB" w:rsidRPr="00DA31BB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t>klosz ze szkła hartowanego</w:t>
      </w:r>
      <w:r w:rsidR="00C80481">
        <w:rPr>
          <w:rFonts w:ascii="Tahoma" w:hAnsi="Tahoma" w:cs="Tahoma"/>
          <w:sz w:val="24"/>
          <w:szCs w:val="24"/>
        </w:rPr>
        <w:t>;</w:t>
      </w:r>
    </w:p>
    <w:p w:rsidR="00DA31BB" w:rsidRPr="00DA31BB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t>stopień szczelności dla komory optycznej oraz dla komory osprzętu co najmniej IP65</w:t>
      </w:r>
      <w:r w:rsidR="00C80481">
        <w:rPr>
          <w:rFonts w:ascii="Tahoma" w:hAnsi="Tahoma" w:cs="Tahoma"/>
          <w:sz w:val="24"/>
          <w:szCs w:val="24"/>
        </w:rPr>
        <w:t>;</w:t>
      </w:r>
    </w:p>
    <w:p w:rsidR="00DA31BB" w:rsidRPr="00DA31BB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t>odporność na uderzenia co najmniej IK08</w:t>
      </w:r>
      <w:r w:rsidR="00C80481">
        <w:rPr>
          <w:rFonts w:ascii="Tahoma" w:hAnsi="Tahoma" w:cs="Tahoma"/>
          <w:sz w:val="24"/>
          <w:szCs w:val="24"/>
        </w:rPr>
        <w:t>;</w:t>
      </w:r>
    </w:p>
    <w:p w:rsidR="00DA31BB" w:rsidRPr="00DA31BB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t>oprawa wykonana w klasie II izolacji</w:t>
      </w:r>
      <w:r w:rsidR="00C80481">
        <w:rPr>
          <w:rFonts w:ascii="Tahoma" w:hAnsi="Tahoma" w:cs="Tahoma"/>
          <w:sz w:val="24"/>
          <w:szCs w:val="24"/>
        </w:rPr>
        <w:t>;</w:t>
      </w:r>
    </w:p>
    <w:p w:rsidR="00DA31BB" w:rsidRPr="00DA31BB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t xml:space="preserve">napięcie znamionowe oprawy 230V +/- 5%, 50 </w:t>
      </w:r>
      <w:proofErr w:type="spellStart"/>
      <w:r w:rsidRPr="00DA31BB">
        <w:rPr>
          <w:rFonts w:ascii="Tahoma" w:hAnsi="Tahoma" w:cs="Tahoma"/>
          <w:sz w:val="24"/>
          <w:szCs w:val="24"/>
        </w:rPr>
        <w:t>Hz</w:t>
      </w:r>
      <w:proofErr w:type="spellEnd"/>
      <w:r w:rsidR="00C80481">
        <w:rPr>
          <w:rFonts w:ascii="Tahoma" w:hAnsi="Tahoma" w:cs="Tahoma"/>
          <w:sz w:val="24"/>
          <w:szCs w:val="24"/>
        </w:rPr>
        <w:t>;</w:t>
      </w:r>
    </w:p>
    <w:p w:rsidR="00DA31BB" w:rsidRPr="00DA31BB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t xml:space="preserve">prąd sterowania oprawą nie większy niż 1050 </w:t>
      </w:r>
      <w:proofErr w:type="spellStart"/>
      <w:r w:rsidRPr="00DA31BB">
        <w:rPr>
          <w:rFonts w:ascii="Tahoma" w:hAnsi="Tahoma" w:cs="Tahoma"/>
          <w:sz w:val="24"/>
          <w:szCs w:val="24"/>
        </w:rPr>
        <w:t>mA</w:t>
      </w:r>
      <w:proofErr w:type="spellEnd"/>
      <w:r w:rsidR="00C80481">
        <w:rPr>
          <w:rFonts w:ascii="Tahoma" w:hAnsi="Tahoma" w:cs="Tahoma"/>
          <w:sz w:val="24"/>
          <w:szCs w:val="24"/>
        </w:rPr>
        <w:t>;</w:t>
      </w:r>
    </w:p>
    <w:p w:rsidR="00DA31BB" w:rsidRPr="00DA31BB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t>oprawy o białym świetle w temperaturze barwowej 4000 K – 4300 K</w:t>
      </w:r>
      <w:r w:rsidR="00C80481">
        <w:rPr>
          <w:rFonts w:ascii="Tahoma" w:hAnsi="Tahoma" w:cs="Tahoma"/>
          <w:sz w:val="24"/>
          <w:szCs w:val="24"/>
        </w:rPr>
        <w:t>;</w:t>
      </w:r>
    </w:p>
    <w:p w:rsidR="00DA31BB" w:rsidRPr="00DA31BB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lastRenderedPageBreak/>
        <w:t>utrzymanie strumienia świetlnego w czasie przy 100000h nie mniejsze niż 90%</w:t>
      </w:r>
      <w:r w:rsidR="00C80481">
        <w:rPr>
          <w:rFonts w:ascii="Tahoma" w:hAnsi="Tahoma" w:cs="Tahoma"/>
          <w:sz w:val="24"/>
          <w:szCs w:val="24"/>
        </w:rPr>
        <w:t>;</w:t>
      </w:r>
    </w:p>
    <w:p w:rsidR="00DA31BB" w:rsidRPr="00DA31BB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t>wskaźnik oddawania barw Ra≥ 70</w:t>
      </w:r>
      <w:r w:rsidR="00C80481">
        <w:rPr>
          <w:rFonts w:ascii="Tahoma" w:hAnsi="Tahoma" w:cs="Tahoma"/>
          <w:sz w:val="24"/>
          <w:szCs w:val="24"/>
        </w:rPr>
        <w:t>;</w:t>
      </w:r>
    </w:p>
    <w:p w:rsidR="00DA31BB" w:rsidRPr="00DA31BB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t>okres gwarancji na oprawę minimum 10 lat</w:t>
      </w:r>
      <w:r w:rsidR="00C80481">
        <w:rPr>
          <w:rFonts w:ascii="Tahoma" w:hAnsi="Tahoma" w:cs="Tahoma"/>
          <w:sz w:val="24"/>
          <w:szCs w:val="24"/>
        </w:rPr>
        <w:t>;</w:t>
      </w:r>
    </w:p>
    <w:p w:rsidR="00DA31BB" w:rsidRPr="00DA31BB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t>oprawa musi posiadać możliwość montażu na wysięgniku lub bezpośrednio na słupie z regulacją pochylenia od -150 do +150</w:t>
      </w:r>
      <w:r w:rsidR="00C80481">
        <w:rPr>
          <w:rFonts w:ascii="Tahoma" w:hAnsi="Tahoma" w:cs="Tahoma"/>
          <w:sz w:val="24"/>
          <w:szCs w:val="24"/>
        </w:rPr>
        <w:t>;</w:t>
      </w:r>
    </w:p>
    <w:p w:rsidR="00DA31BB" w:rsidRPr="00DA31BB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t>zasilacz w oprawie musi umożliwiać redukcję mocy i strumienia świetlnego oprawy</w:t>
      </w:r>
      <w:r w:rsidR="00C80481">
        <w:rPr>
          <w:rFonts w:ascii="Tahoma" w:hAnsi="Tahoma" w:cs="Tahoma"/>
          <w:sz w:val="24"/>
          <w:szCs w:val="24"/>
        </w:rPr>
        <w:t>;</w:t>
      </w:r>
    </w:p>
    <w:p w:rsidR="00DA31BB" w:rsidRPr="00DA31BB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t>redukcja mocy w oprawie musi odbywać się w sposób płynny i pozwalać na co najmniej 3 stopniową redukcję strumienia świetlnego dla cyklu jednej doby</w:t>
      </w:r>
      <w:r w:rsidR="00C80481">
        <w:rPr>
          <w:rFonts w:ascii="Tahoma" w:hAnsi="Tahoma" w:cs="Tahoma"/>
          <w:sz w:val="24"/>
          <w:szCs w:val="24"/>
        </w:rPr>
        <w:t>;</w:t>
      </w:r>
    </w:p>
    <w:p w:rsidR="00DA31BB" w:rsidRPr="00DA31BB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t>oprawa musi posiadać oznaczenie CE, certyfikat ENEC i ENEC+ wydany przez laboratorium zlokalizo</w:t>
      </w:r>
      <w:r w:rsidR="00C80481">
        <w:rPr>
          <w:rFonts w:ascii="Tahoma" w:hAnsi="Tahoma" w:cs="Tahoma"/>
          <w:sz w:val="24"/>
          <w:szCs w:val="24"/>
        </w:rPr>
        <w:t>w</w:t>
      </w:r>
      <w:r w:rsidRPr="00DA31BB">
        <w:rPr>
          <w:rFonts w:ascii="Tahoma" w:hAnsi="Tahoma" w:cs="Tahoma"/>
          <w:sz w:val="24"/>
          <w:szCs w:val="24"/>
        </w:rPr>
        <w:t>ane na terenie UE oraz posiadać stosowne deklaracje. Wyżej wymienione certyfikaty musza obejmować zarówno oprawę jak i system st</w:t>
      </w:r>
      <w:r w:rsidR="00C80481">
        <w:rPr>
          <w:rFonts w:ascii="Tahoma" w:hAnsi="Tahoma" w:cs="Tahoma"/>
          <w:sz w:val="24"/>
          <w:szCs w:val="24"/>
        </w:rPr>
        <w:t>e</w:t>
      </w:r>
      <w:r w:rsidRPr="00DA31BB">
        <w:rPr>
          <w:rFonts w:ascii="Tahoma" w:hAnsi="Tahoma" w:cs="Tahoma"/>
          <w:sz w:val="24"/>
          <w:szCs w:val="24"/>
        </w:rPr>
        <w:t>rowania</w:t>
      </w:r>
      <w:r w:rsidR="00C80481">
        <w:rPr>
          <w:rFonts w:ascii="Tahoma" w:hAnsi="Tahoma" w:cs="Tahoma"/>
          <w:sz w:val="24"/>
          <w:szCs w:val="24"/>
        </w:rPr>
        <w:t>;</w:t>
      </w:r>
    </w:p>
    <w:p w:rsidR="00104F0A" w:rsidRDefault="00DA31BB" w:rsidP="00AE192C">
      <w:pPr>
        <w:pStyle w:val="Akapitzlist"/>
        <w:numPr>
          <w:ilvl w:val="0"/>
          <w:numId w:val="3"/>
        </w:numPr>
        <w:ind w:left="851" w:hanging="425"/>
        <w:rPr>
          <w:rFonts w:ascii="Tahoma" w:hAnsi="Tahoma" w:cs="Tahoma"/>
          <w:sz w:val="24"/>
          <w:szCs w:val="24"/>
        </w:rPr>
      </w:pPr>
      <w:r w:rsidRPr="00DA31BB">
        <w:rPr>
          <w:rFonts w:ascii="Tahoma" w:hAnsi="Tahoma" w:cs="Tahoma"/>
          <w:sz w:val="24"/>
          <w:szCs w:val="24"/>
        </w:rPr>
        <w:t xml:space="preserve">oprawy muszą być wyposażone w gniazdo </w:t>
      </w:r>
      <w:proofErr w:type="spellStart"/>
      <w:r w:rsidRPr="00DA31BB">
        <w:rPr>
          <w:rFonts w:ascii="Tahoma" w:hAnsi="Tahoma" w:cs="Tahoma"/>
          <w:sz w:val="24"/>
          <w:szCs w:val="24"/>
        </w:rPr>
        <w:t>Zhaga</w:t>
      </w:r>
      <w:proofErr w:type="spellEnd"/>
      <w:r w:rsidRPr="00DA31BB">
        <w:rPr>
          <w:rFonts w:ascii="Tahoma" w:hAnsi="Tahoma" w:cs="Tahoma"/>
          <w:sz w:val="24"/>
          <w:szCs w:val="24"/>
        </w:rPr>
        <w:t xml:space="preserve"> oraz posiadać certyfikat </w:t>
      </w:r>
      <w:proofErr w:type="spellStart"/>
      <w:r w:rsidRPr="00DA31BB">
        <w:rPr>
          <w:rFonts w:ascii="Tahoma" w:hAnsi="Tahoma" w:cs="Tahoma"/>
          <w:sz w:val="24"/>
          <w:szCs w:val="24"/>
        </w:rPr>
        <w:t>Zhaga</w:t>
      </w:r>
      <w:proofErr w:type="spellEnd"/>
      <w:r w:rsidRPr="00DA31BB">
        <w:rPr>
          <w:rFonts w:ascii="Tahoma" w:hAnsi="Tahoma" w:cs="Tahoma"/>
          <w:sz w:val="24"/>
          <w:szCs w:val="24"/>
        </w:rPr>
        <w:t xml:space="preserve"> D4i.</w:t>
      </w:r>
    </w:p>
    <w:p w:rsidR="006E3412" w:rsidRPr="0086145C" w:rsidRDefault="00865E92" w:rsidP="00865E92">
      <w:pPr>
        <w:pStyle w:val="Akapitzlist"/>
        <w:numPr>
          <w:ilvl w:val="0"/>
          <w:numId w:val="8"/>
        </w:numPr>
        <w:ind w:left="426" w:hanging="426"/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>Zamawiający wymaga, aby przed rozpoczęciem montażu nowych opraw Wykonawca uzgodnił ilości i moce opraw na poszczególnych drogach w poszczególnych lokalizacjach – uwzględniając uwagi Zamawiającego odnośnie pożądanego poziomu natężenia oświetlenia.</w:t>
      </w:r>
    </w:p>
    <w:p w:rsidR="00865E92" w:rsidRPr="0086145C" w:rsidRDefault="00865E92" w:rsidP="00865E92">
      <w:pPr>
        <w:pStyle w:val="Akapitzlist"/>
        <w:numPr>
          <w:ilvl w:val="0"/>
          <w:numId w:val="8"/>
        </w:numPr>
        <w:ind w:left="426" w:hanging="426"/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 xml:space="preserve">Przedmiot zamówienia obejmuje również </w:t>
      </w:r>
    </w:p>
    <w:p w:rsidR="00865E92" w:rsidRPr="0086145C" w:rsidRDefault="00865E92" w:rsidP="00AE192C">
      <w:pPr>
        <w:pStyle w:val="Akapitzlist"/>
        <w:numPr>
          <w:ilvl w:val="1"/>
          <w:numId w:val="13"/>
        </w:numPr>
        <w:ind w:left="709" w:hanging="425"/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 xml:space="preserve">demontaż obecnie zamontowanych opraw oświetleniowych oraz ich </w:t>
      </w:r>
      <w:r w:rsidR="00B62945" w:rsidRPr="0086145C">
        <w:rPr>
          <w:rFonts w:ascii="Tahoma" w:hAnsi="Tahoma" w:cs="Tahoma"/>
          <w:sz w:val="24"/>
          <w:szCs w:val="24"/>
        </w:rPr>
        <w:t>rozliczenie z właścicielem lamp</w:t>
      </w:r>
      <w:r w:rsidRPr="0086145C">
        <w:rPr>
          <w:rFonts w:ascii="Tahoma" w:hAnsi="Tahoma" w:cs="Tahoma"/>
          <w:sz w:val="24"/>
          <w:szCs w:val="24"/>
        </w:rPr>
        <w:t>;</w:t>
      </w:r>
    </w:p>
    <w:p w:rsidR="00865E92" w:rsidRPr="0086145C" w:rsidRDefault="00865E92" w:rsidP="00AE192C">
      <w:pPr>
        <w:pStyle w:val="Akapitzlist"/>
        <w:numPr>
          <w:ilvl w:val="1"/>
          <w:numId w:val="13"/>
        </w:numPr>
        <w:ind w:left="709" w:hanging="425"/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>montaż nowych opraw oświetleniowych LED oraz uruchomienie systemu oświetleniowego;</w:t>
      </w:r>
    </w:p>
    <w:p w:rsidR="00865E92" w:rsidRPr="0086145C" w:rsidRDefault="00865E92" w:rsidP="00AE192C">
      <w:pPr>
        <w:pStyle w:val="Akapitzlist"/>
        <w:numPr>
          <w:ilvl w:val="1"/>
          <w:numId w:val="13"/>
        </w:numPr>
        <w:ind w:left="709" w:hanging="425"/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 xml:space="preserve">dostarczenie wszystkich niezbędnych atestów, certyfikatów, deklaracji zgodności itp., w tym dokument z badania zgodności deklarowanych przez Wykonawcę wielkości strumienia opraw ze stanem faktycznym – zmierzonymi strumieniami zamontowanych przez Wykonawcę opraw. </w:t>
      </w:r>
    </w:p>
    <w:p w:rsidR="00865E92" w:rsidRPr="0086145C" w:rsidRDefault="00865E92" w:rsidP="00AE192C">
      <w:pPr>
        <w:pStyle w:val="Akapitzlist"/>
        <w:numPr>
          <w:ilvl w:val="0"/>
          <w:numId w:val="8"/>
        </w:numPr>
        <w:ind w:left="426" w:hanging="426"/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>Materiały użyte do realizacji zadania powinny odpowiadać wymogom określonym w ustawie dnia 7 lipca 1994 roku Prawo budowlane (Dz. U. z 2024 r. poz. 725), ustawie z dnia 16 kwietnia 2004 roku o wyrobach budowlanych (Dz. U. Nr z 2014, poz. 883.) oraz w ustawie z dnia 30 sierpnia 2002 roku o systemie oceny zgodności (Dz. U. z 2014 roku, poz. 1645).</w:t>
      </w:r>
    </w:p>
    <w:p w:rsidR="00865E92" w:rsidRPr="0086145C" w:rsidRDefault="000A0F01" w:rsidP="00AE192C">
      <w:pPr>
        <w:pStyle w:val="Akapitzlist"/>
        <w:numPr>
          <w:ilvl w:val="0"/>
          <w:numId w:val="8"/>
        </w:numPr>
        <w:ind w:left="426" w:hanging="426"/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>W celu ujednolicenia wizerunku gminy oferowane oprawy uliczne muszą pochodzić od jednego producenta, muszą być malowane na jednakowy kolor z palety RAL oraz posiadać jednakowy korpus (w jednej formie i rozmiarze).</w:t>
      </w:r>
    </w:p>
    <w:p w:rsidR="00AE192C" w:rsidRPr="00AE192C" w:rsidRDefault="00AE192C" w:rsidP="00AE192C">
      <w:pPr>
        <w:pStyle w:val="Akapitzlist"/>
        <w:ind w:left="426"/>
        <w:rPr>
          <w:rFonts w:ascii="Tahoma" w:hAnsi="Tahoma" w:cs="Tahoma"/>
          <w:sz w:val="24"/>
          <w:szCs w:val="24"/>
        </w:rPr>
      </w:pPr>
    </w:p>
    <w:p w:rsidR="006E3412" w:rsidRPr="00865E92" w:rsidRDefault="006E3412" w:rsidP="006E3412">
      <w:pPr>
        <w:rPr>
          <w:rFonts w:ascii="Tahoma" w:hAnsi="Tahoma" w:cs="Tahoma"/>
          <w:b/>
          <w:bCs/>
          <w:sz w:val="24"/>
          <w:szCs w:val="24"/>
        </w:rPr>
      </w:pPr>
      <w:r w:rsidRPr="00865E92">
        <w:rPr>
          <w:rFonts w:ascii="Tahoma" w:hAnsi="Tahoma" w:cs="Tahoma"/>
          <w:b/>
          <w:bCs/>
          <w:sz w:val="24"/>
          <w:szCs w:val="24"/>
        </w:rPr>
        <w:t>Dostawa sterowników grupowego systemu sterowania oświetleniem.</w:t>
      </w:r>
    </w:p>
    <w:p w:rsidR="007C7BAE" w:rsidRPr="007C7BAE" w:rsidRDefault="007C7BAE" w:rsidP="006E3412">
      <w:pPr>
        <w:rPr>
          <w:rFonts w:ascii="Tahoma" w:hAnsi="Tahoma" w:cs="Tahoma"/>
          <w:sz w:val="24"/>
          <w:szCs w:val="24"/>
        </w:rPr>
      </w:pPr>
      <w:r w:rsidRPr="00865E92">
        <w:rPr>
          <w:rFonts w:ascii="Tahoma" w:hAnsi="Tahoma" w:cs="Tahoma"/>
          <w:sz w:val="24"/>
          <w:szCs w:val="24"/>
        </w:rPr>
        <w:lastRenderedPageBreak/>
        <w:t>Wymagania techniczne dotyczące systemu zarządzania oświet</w:t>
      </w:r>
      <w:r w:rsidR="00865E92" w:rsidRPr="00865E92">
        <w:rPr>
          <w:rFonts w:ascii="Tahoma" w:hAnsi="Tahoma" w:cs="Tahoma"/>
          <w:sz w:val="24"/>
          <w:szCs w:val="24"/>
        </w:rPr>
        <w:t>l</w:t>
      </w:r>
      <w:r w:rsidRPr="00865E92">
        <w:rPr>
          <w:rFonts w:ascii="Tahoma" w:hAnsi="Tahoma" w:cs="Tahoma"/>
          <w:sz w:val="24"/>
          <w:szCs w:val="24"/>
        </w:rPr>
        <w:t>eniem.</w:t>
      </w:r>
    </w:p>
    <w:p w:rsidR="006E3412" w:rsidRPr="00DF6C3F" w:rsidRDefault="007C7BAE" w:rsidP="00DF6C3F">
      <w:pPr>
        <w:pStyle w:val="Akapitzlist"/>
        <w:numPr>
          <w:ilvl w:val="0"/>
          <w:numId w:val="5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6E3412" w:rsidRPr="00DF6C3F">
        <w:rPr>
          <w:rFonts w:ascii="Tahoma" w:hAnsi="Tahoma" w:cs="Tahoma"/>
          <w:sz w:val="24"/>
          <w:szCs w:val="24"/>
        </w:rPr>
        <w:t xml:space="preserve">ystem powinien zapewnić zdalny nadzór oraz konfigurację sieci oświetleniowej poprzez sieć internetową z poziomu przeglądarki internetowej bez konieczności instalowania dodatkowego oprogramowania. Dostęp do interfejsu użytkownika powinien być możliwy z dowolnego urządzenia wyposażonego w dostęp do </w:t>
      </w:r>
      <w:proofErr w:type="spellStart"/>
      <w:r w:rsidR="006E3412" w:rsidRPr="00DF6C3F">
        <w:rPr>
          <w:rFonts w:ascii="Tahoma" w:hAnsi="Tahoma" w:cs="Tahoma"/>
          <w:sz w:val="24"/>
          <w:szCs w:val="24"/>
        </w:rPr>
        <w:t>internetu</w:t>
      </w:r>
      <w:proofErr w:type="spellEnd"/>
      <w:r w:rsidR="006E3412" w:rsidRPr="00DF6C3F">
        <w:rPr>
          <w:rFonts w:ascii="Tahoma" w:hAnsi="Tahoma" w:cs="Tahoma"/>
          <w:sz w:val="24"/>
          <w:szCs w:val="24"/>
        </w:rPr>
        <w:t xml:space="preserve"> i przeglądarki internetowej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DF6C3F" w:rsidRDefault="007C7BAE" w:rsidP="00DF6C3F">
      <w:pPr>
        <w:pStyle w:val="Akapitzlist"/>
        <w:numPr>
          <w:ilvl w:val="0"/>
          <w:numId w:val="5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6E3412" w:rsidRPr="00DF6C3F">
        <w:rPr>
          <w:rFonts w:ascii="Tahoma" w:hAnsi="Tahoma" w:cs="Tahoma"/>
          <w:sz w:val="24"/>
          <w:szCs w:val="24"/>
        </w:rPr>
        <w:t>ożliwość zdalnej zmiany konfiguracji w dowolnym momencie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DF6C3F" w:rsidRDefault="007C7BAE" w:rsidP="00DF6C3F">
      <w:pPr>
        <w:pStyle w:val="Akapitzlist"/>
        <w:numPr>
          <w:ilvl w:val="0"/>
          <w:numId w:val="5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6E3412" w:rsidRPr="00DF6C3F">
        <w:rPr>
          <w:rFonts w:ascii="Tahoma" w:hAnsi="Tahoma" w:cs="Tahoma"/>
          <w:sz w:val="24"/>
          <w:szCs w:val="24"/>
        </w:rPr>
        <w:t>utomatyczna redukcja mocy zgodnie z ustalonym harmonogramem redukcji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DF6C3F" w:rsidRDefault="007C7BAE" w:rsidP="00DF6C3F">
      <w:pPr>
        <w:pStyle w:val="Akapitzlist"/>
        <w:numPr>
          <w:ilvl w:val="0"/>
          <w:numId w:val="5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6E3412" w:rsidRPr="00DF6C3F">
        <w:rPr>
          <w:rFonts w:ascii="Tahoma" w:hAnsi="Tahoma" w:cs="Tahoma"/>
          <w:sz w:val="24"/>
          <w:szCs w:val="24"/>
        </w:rPr>
        <w:t>ostęp do historycznych parametrów pracy systemu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DF6C3F" w:rsidRDefault="007C7BAE" w:rsidP="00DF6C3F">
      <w:pPr>
        <w:pStyle w:val="Akapitzlist"/>
        <w:numPr>
          <w:ilvl w:val="0"/>
          <w:numId w:val="5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</w:t>
      </w:r>
      <w:r w:rsidR="006E3412" w:rsidRPr="00DF6C3F">
        <w:rPr>
          <w:rFonts w:ascii="Tahoma" w:hAnsi="Tahoma" w:cs="Tahoma"/>
          <w:sz w:val="24"/>
          <w:szCs w:val="24"/>
        </w:rPr>
        <w:t>enerowanie raportu błędów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DF6C3F" w:rsidRDefault="00C80481" w:rsidP="00DF6C3F">
      <w:pPr>
        <w:pStyle w:val="Akapitzlist"/>
        <w:numPr>
          <w:ilvl w:val="0"/>
          <w:numId w:val="5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6E3412" w:rsidRPr="00DF6C3F">
        <w:rPr>
          <w:rFonts w:ascii="Tahoma" w:hAnsi="Tahoma" w:cs="Tahoma"/>
          <w:sz w:val="24"/>
          <w:szCs w:val="24"/>
        </w:rPr>
        <w:t>ożliwość rozbudowy systemu w przyszłości o dodatkowe punkty świetlne istniejącej sieci</w:t>
      </w:r>
      <w:r w:rsidR="003C0166">
        <w:rPr>
          <w:rFonts w:ascii="Tahoma" w:hAnsi="Tahoma" w:cs="Tahoma"/>
          <w:sz w:val="24"/>
          <w:szCs w:val="24"/>
        </w:rPr>
        <w:t xml:space="preserve"> </w:t>
      </w:r>
      <w:r w:rsidR="006E3412" w:rsidRPr="00DF6C3F">
        <w:rPr>
          <w:rFonts w:ascii="Tahoma" w:hAnsi="Tahoma" w:cs="Tahoma"/>
          <w:sz w:val="24"/>
          <w:szCs w:val="24"/>
        </w:rPr>
        <w:t>oświetleniowej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DF6C3F" w:rsidRDefault="00C80481" w:rsidP="00DF6C3F">
      <w:pPr>
        <w:pStyle w:val="Akapitzlist"/>
        <w:numPr>
          <w:ilvl w:val="0"/>
          <w:numId w:val="5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6E3412" w:rsidRPr="00DF6C3F">
        <w:rPr>
          <w:rFonts w:ascii="Tahoma" w:hAnsi="Tahoma" w:cs="Tahoma"/>
          <w:sz w:val="24"/>
          <w:szCs w:val="24"/>
        </w:rPr>
        <w:t>worzenie kont użytkowników z różnorodnymi poziomami dostępu z możliwością zmiany w dowolnym momencie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DF6C3F" w:rsidRDefault="00C80481" w:rsidP="00DF6C3F">
      <w:pPr>
        <w:pStyle w:val="Akapitzlist"/>
        <w:numPr>
          <w:ilvl w:val="0"/>
          <w:numId w:val="5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="006E3412" w:rsidRPr="00DF6C3F">
        <w:rPr>
          <w:rFonts w:ascii="Tahoma" w:hAnsi="Tahoma" w:cs="Tahoma"/>
          <w:sz w:val="24"/>
          <w:szCs w:val="24"/>
        </w:rPr>
        <w:t>ezpłatne wsparcie techniczne polegające na bieżących zdalnych aktualizacjach oprogramowania sterownika oraz zabezpieczeń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DF6C3F" w:rsidRDefault="00C80481" w:rsidP="00DF6C3F">
      <w:pPr>
        <w:pStyle w:val="Akapitzlist"/>
        <w:numPr>
          <w:ilvl w:val="0"/>
          <w:numId w:val="5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6E3412" w:rsidRPr="00DF6C3F">
        <w:rPr>
          <w:rFonts w:ascii="Tahoma" w:hAnsi="Tahoma" w:cs="Tahoma"/>
          <w:sz w:val="24"/>
          <w:szCs w:val="24"/>
        </w:rPr>
        <w:t>ystem będzie wspierany przez dostawcę w okresie co najmniej 10 lat od jego wdrożenia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DF6C3F" w:rsidRDefault="00C80481" w:rsidP="00DF6C3F">
      <w:pPr>
        <w:pStyle w:val="Akapitzlist"/>
        <w:numPr>
          <w:ilvl w:val="0"/>
          <w:numId w:val="5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6E3412" w:rsidRPr="00DF6C3F">
        <w:rPr>
          <w:rFonts w:ascii="Tahoma" w:hAnsi="Tahoma" w:cs="Tahoma"/>
          <w:sz w:val="24"/>
          <w:szCs w:val="24"/>
        </w:rPr>
        <w:t>programowanie systemu będzie na bieżąco bezpłatnie aktualizowane przez dostawcę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DF6C3F" w:rsidRDefault="00C80481" w:rsidP="00DF6C3F">
      <w:pPr>
        <w:pStyle w:val="Akapitzlist"/>
        <w:numPr>
          <w:ilvl w:val="0"/>
          <w:numId w:val="5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</w:t>
      </w:r>
      <w:r w:rsidR="006E3412" w:rsidRPr="00DF6C3F">
        <w:rPr>
          <w:rFonts w:ascii="Tahoma" w:hAnsi="Tahoma" w:cs="Tahoma"/>
          <w:sz w:val="24"/>
          <w:szCs w:val="24"/>
        </w:rPr>
        <w:t>romadzone na platformie lub serwerze dane będą własnością Zamawiającego, a jej dostawca zapewni Zamawiającemu bezpłatne ich przechowywanie lub udostępnienie od czasu ich powstania do czasu rezygnacji z korzystania przez Zamawiającego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DF6C3F" w:rsidRDefault="00C80481" w:rsidP="00DF6C3F">
      <w:pPr>
        <w:pStyle w:val="Akapitzlist"/>
        <w:numPr>
          <w:ilvl w:val="0"/>
          <w:numId w:val="5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6E3412" w:rsidRPr="00DF6C3F">
        <w:rPr>
          <w:rFonts w:ascii="Tahoma" w:hAnsi="Tahoma" w:cs="Tahoma"/>
          <w:sz w:val="24"/>
          <w:szCs w:val="24"/>
        </w:rPr>
        <w:t>ostawca systemu zarządzania oświetleniem powinien wskazać oraz przedstawić rekomendacje z przynajm</w:t>
      </w:r>
      <w:r w:rsidR="003C0166">
        <w:rPr>
          <w:rFonts w:ascii="Tahoma" w:hAnsi="Tahoma" w:cs="Tahoma"/>
          <w:sz w:val="24"/>
          <w:szCs w:val="24"/>
        </w:rPr>
        <w:t>n</w:t>
      </w:r>
      <w:r w:rsidR="006E3412" w:rsidRPr="00DF6C3F">
        <w:rPr>
          <w:rFonts w:ascii="Tahoma" w:hAnsi="Tahoma" w:cs="Tahoma"/>
          <w:sz w:val="24"/>
          <w:szCs w:val="24"/>
        </w:rPr>
        <w:t>iej 2-ch udanych wdrożeń systemu w ostatnich 3-latach na terenie UE, gdzie każde z nich obejmowało co najmniej 300 punktów świetlnych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DF6C3F" w:rsidRDefault="003C0166" w:rsidP="00DF6C3F">
      <w:pPr>
        <w:pStyle w:val="Akapitzlist"/>
        <w:numPr>
          <w:ilvl w:val="0"/>
          <w:numId w:val="5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="006E3412" w:rsidRPr="00DF6C3F">
        <w:rPr>
          <w:rFonts w:ascii="Tahoma" w:hAnsi="Tahoma" w:cs="Tahoma"/>
          <w:sz w:val="24"/>
          <w:szCs w:val="24"/>
        </w:rPr>
        <w:t xml:space="preserve"> przypadku wystąpienia awarii systemu sterowania, powinna być możliwość przełączenia sieci oświetleniowej i uruchomienie jej na sterowaniu ręcznym z pominięciem systemu.</w:t>
      </w:r>
    </w:p>
    <w:p w:rsidR="00DF6C3F" w:rsidRDefault="00DF6C3F" w:rsidP="006E3412">
      <w:pPr>
        <w:rPr>
          <w:rFonts w:ascii="Tahoma" w:hAnsi="Tahoma" w:cs="Tahoma"/>
          <w:sz w:val="24"/>
          <w:szCs w:val="24"/>
        </w:rPr>
      </w:pPr>
    </w:p>
    <w:p w:rsidR="006E3412" w:rsidRPr="00AE192C" w:rsidRDefault="006E3412" w:rsidP="006E3412">
      <w:pPr>
        <w:rPr>
          <w:rFonts w:ascii="Tahoma" w:hAnsi="Tahoma" w:cs="Tahoma"/>
          <w:b/>
          <w:bCs/>
          <w:sz w:val="24"/>
          <w:szCs w:val="24"/>
        </w:rPr>
      </w:pPr>
      <w:r w:rsidRPr="00AE192C">
        <w:rPr>
          <w:rFonts w:ascii="Tahoma" w:hAnsi="Tahoma" w:cs="Tahoma"/>
          <w:b/>
          <w:bCs/>
          <w:sz w:val="24"/>
          <w:szCs w:val="24"/>
        </w:rPr>
        <w:t>Wymagania techniczne dotyczące uzgodnienia modernizacji oświetlenia</w:t>
      </w:r>
    </w:p>
    <w:p w:rsidR="006E3412" w:rsidRPr="00AE192C" w:rsidRDefault="006E3412" w:rsidP="00AE192C">
      <w:pPr>
        <w:pStyle w:val="Akapitzlist"/>
        <w:numPr>
          <w:ilvl w:val="0"/>
          <w:numId w:val="14"/>
        </w:numPr>
        <w:ind w:left="426" w:hanging="426"/>
        <w:rPr>
          <w:rFonts w:ascii="Tahoma" w:hAnsi="Tahoma" w:cs="Tahoma"/>
          <w:sz w:val="24"/>
          <w:szCs w:val="24"/>
        </w:rPr>
      </w:pPr>
      <w:r w:rsidRPr="00AE192C">
        <w:rPr>
          <w:rFonts w:ascii="Tahoma" w:hAnsi="Tahoma" w:cs="Tahoma"/>
          <w:sz w:val="24"/>
          <w:szCs w:val="24"/>
        </w:rPr>
        <w:t>Energa Oświetlenie zweryfikuje zaproponowane przez Wykonawcę rozwiązanie modernizacji oświetlenia w zakresie zastosowanych materiałów i zgodności obliczeń fotometrycznych, w oparciu o zgodność z wymaganiami SIWZ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AE192C" w:rsidRDefault="00C80481" w:rsidP="00AE192C">
      <w:pPr>
        <w:pStyle w:val="Akapitzlist"/>
        <w:numPr>
          <w:ilvl w:val="0"/>
          <w:numId w:val="14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6E3412" w:rsidRPr="00AE192C">
        <w:rPr>
          <w:rFonts w:ascii="Tahoma" w:hAnsi="Tahoma" w:cs="Tahoma"/>
          <w:sz w:val="24"/>
          <w:szCs w:val="24"/>
        </w:rPr>
        <w:t xml:space="preserve">rojekt techniczny powinien opisywać w sposób precyzyjny i jednoznaczny zakres planowanej modernizacji, liczbę i lokalizację punktów świetlnych, określenie ich rodzaju, mocy, typu z parametrami montażu opraw oraz punktem zasilania </w:t>
      </w:r>
      <w:r w:rsidR="006E3412" w:rsidRPr="00AE192C">
        <w:rPr>
          <w:rFonts w:ascii="Tahoma" w:hAnsi="Tahoma" w:cs="Tahoma"/>
          <w:sz w:val="24"/>
          <w:szCs w:val="24"/>
        </w:rPr>
        <w:lastRenderedPageBreak/>
        <w:t>opraw. Oczekiwana forma dokumentacji właściwa dla planowanego zakresu robót – wymiana opraw i sterowania (schematy jednokreskowe lub mapa z rozmieszczeniem opraw i ich statusem, zestawienie tabelaryczne stanu przed montażem i po modernizacji, zestawienie demontażu i montażu opraw i pozostałego osprzętu)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AE192C" w:rsidRDefault="00C80481" w:rsidP="00AE192C">
      <w:pPr>
        <w:pStyle w:val="Akapitzlist"/>
        <w:numPr>
          <w:ilvl w:val="0"/>
          <w:numId w:val="14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="006E3412" w:rsidRPr="00AE192C">
        <w:rPr>
          <w:rFonts w:ascii="Tahoma" w:hAnsi="Tahoma" w:cs="Tahoma"/>
          <w:sz w:val="24"/>
          <w:szCs w:val="24"/>
        </w:rPr>
        <w:t>estawienia opraw na obiektach powinny być zestawione w rozbiciu na poszczególne PPE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AE192C" w:rsidRDefault="00C80481" w:rsidP="00AE192C">
      <w:pPr>
        <w:pStyle w:val="Akapitzlist"/>
        <w:numPr>
          <w:ilvl w:val="0"/>
          <w:numId w:val="14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6E3412" w:rsidRPr="00AE192C">
        <w:rPr>
          <w:rFonts w:ascii="Tahoma" w:hAnsi="Tahoma" w:cs="Tahoma"/>
          <w:sz w:val="24"/>
          <w:szCs w:val="24"/>
        </w:rPr>
        <w:t>rojekt po wykonaniu powinien zostać przesłany do uzgodnienia do Wydziału Realizacji Usług Regionu Południe ENERGA Oświetlenie Sp. z o.o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AE192C" w:rsidRDefault="006E3412" w:rsidP="00AE192C">
      <w:pPr>
        <w:pStyle w:val="Akapitzlist"/>
        <w:numPr>
          <w:ilvl w:val="0"/>
          <w:numId w:val="14"/>
        </w:numPr>
        <w:ind w:left="426" w:hanging="426"/>
        <w:rPr>
          <w:rFonts w:ascii="Tahoma" w:hAnsi="Tahoma" w:cs="Tahoma"/>
          <w:sz w:val="24"/>
          <w:szCs w:val="24"/>
        </w:rPr>
      </w:pPr>
      <w:r w:rsidRPr="00AE192C">
        <w:rPr>
          <w:rFonts w:ascii="Tahoma" w:hAnsi="Tahoma" w:cs="Tahoma"/>
          <w:sz w:val="24"/>
          <w:szCs w:val="24"/>
        </w:rPr>
        <w:t>Wykonawcą prac związanych z planowaną modernizacją oświetlenia ulicznego na terenie Gminy może być firma wskazana przez Wnioskodawcę, posiadająca stosowne uprawnienia do wykonywania tych prac i akceptowana przez ENERGA Oświetlenie Sp. z o.o..</w:t>
      </w:r>
    </w:p>
    <w:p w:rsidR="006E3412" w:rsidRPr="00AE192C" w:rsidRDefault="00C80481" w:rsidP="00AE192C">
      <w:pPr>
        <w:pStyle w:val="Akapitzlist"/>
        <w:numPr>
          <w:ilvl w:val="0"/>
          <w:numId w:val="14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6E3412" w:rsidRPr="00AE192C">
        <w:rPr>
          <w:rFonts w:ascii="Tahoma" w:hAnsi="Tahoma" w:cs="Tahoma"/>
          <w:sz w:val="24"/>
          <w:szCs w:val="24"/>
        </w:rPr>
        <w:t>a roboczo do wyjaśnienia spraw bieżących, pozostaje do dyspozycji projektanta Kierownik Działu Realizacji Usług Ciechanów</w:t>
      </w:r>
      <w:r w:rsidR="00EF44A1">
        <w:rPr>
          <w:rFonts w:ascii="Tahoma" w:hAnsi="Tahoma" w:cs="Tahoma"/>
          <w:sz w:val="24"/>
          <w:szCs w:val="24"/>
        </w:rPr>
        <w:t>.</w:t>
      </w:r>
    </w:p>
    <w:p w:rsidR="00C80481" w:rsidRDefault="00C80481" w:rsidP="006E3412">
      <w:pPr>
        <w:rPr>
          <w:rFonts w:ascii="Tahoma" w:hAnsi="Tahoma" w:cs="Tahoma"/>
          <w:b/>
          <w:bCs/>
          <w:sz w:val="24"/>
          <w:szCs w:val="24"/>
        </w:rPr>
      </w:pPr>
    </w:p>
    <w:p w:rsidR="006E3412" w:rsidRPr="00C80481" w:rsidRDefault="006E3412" w:rsidP="006E3412">
      <w:pPr>
        <w:rPr>
          <w:rFonts w:ascii="Tahoma" w:hAnsi="Tahoma" w:cs="Tahoma"/>
          <w:b/>
          <w:bCs/>
          <w:sz w:val="24"/>
          <w:szCs w:val="24"/>
        </w:rPr>
      </w:pPr>
      <w:r w:rsidRPr="00C80481">
        <w:rPr>
          <w:rFonts w:ascii="Tahoma" w:hAnsi="Tahoma" w:cs="Tahoma"/>
          <w:b/>
          <w:bCs/>
          <w:sz w:val="24"/>
          <w:szCs w:val="24"/>
        </w:rPr>
        <w:t>Wymagania techniczne dotyczące odbioru robót oświetleniowych</w:t>
      </w:r>
      <w:r w:rsidR="00AE192C" w:rsidRPr="00C80481">
        <w:rPr>
          <w:rFonts w:ascii="Tahoma" w:hAnsi="Tahoma" w:cs="Tahoma"/>
          <w:b/>
          <w:bCs/>
          <w:sz w:val="24"/>
          <w:szCs w:val="24"/>
        </w:rPr>
        <w:t>.</w:t>
      </w:r>
    </w:p>
    <w:p w:rsidR="006E3412" w:rsidRPr="00AE192C" w:rsidRDefault="00AE192C" w:rsidP="00AE192C">
      <w:pPr>
        <w:pStyle w:val="Akapitzlist"/>
        <w:numPr>
          <w:ilvl w:val="0"/>
          <w:numId w:val="16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6E3412" w:rsidRPr="00AE192C">
        <w:rPr>
          <w:rFonts w:ascii="Tahoma" w:hAnsi="Tahoma" w:cs="Tahoma"/>
          <w:sz w:val="24"/>
          <w:szCs w:val="24"/>
        </w:rPr>
        <w:t xml:space="preserve">adzór nad realizacją prac modernizacyjnych, </w:t>
      </w:r>
      <w:bookmarkStart w:id="0" w:name="_Hlk181791201"/>
      <w:r w:rsidR="006E3412" w:rsidRPr="00AE192C">
        <w:rPr>
          <w:rFonts w:ascii="Tahoma" w:hAnsi="Tahoma" w:cs="Tahoma"/>
          <w:sz w:val="24"/>
          <w:szCs w:val="24"/>
        </w:rPr>
        <w:t>odbiory etapowe i końcowe odbędą się przy udziale przedstawiciela Energa Oświetlenie Sp. z o.o</w:t>
      </w:r>
      <w:r w:rsidR="00EF44A1">
        <w:rPr>
          <w:rFonts w:ascii="Tahoma" w:hAnsi="Tahoma" w:cs="Tahoma"/>
          <w:sz w:val="24"/>
          <w:szCs w:val="24"/>
        </w:rPr>
        <w:t>.</w:t>
      </w:r>
      <w:bookmarkEnd w:id="0"/>
    </w:p>
    <w:p w:rsidR="006E3412" w:rsidRPr="00AE192C" w:rsidRDefault="006E3412" w:rsidP="00AE192C">
      <w:pPr>
        <w:pStyle w:val="Akapitzlist"/>
        <w:numPr>
          <w:ilvl w:val="0"/>
          <w:numId w:val="16"/>
        </w:numPr>
        <w:ind w:left="426" w:hanging="426"/>
        <w:rPr>
          <w:rFonts w:ascii="Tahoma" w:hAnsi="Tahoma" w:cs="Tahoma"/>
          <w:sz w:val="24"/>
          <w:szCs w:val="24"/>
        </w:rPr>
      </w:pPr>
      <w:r w:rsidRPr="00AE192C">
        <w:rPr>
          <w:rFonts w:ascii="Tahoma" w:hAnsi="Tahoma" w:cs="Tahoma"/>
          <w:sz w:val="24"/>
          <w:szCs w:val="24"/>
        </w:rPr>
        <w:t>Istniejące oprawy oraz osprzęt oświetleniowy podlegający demontażowi Wykonawca podczas prowadzenia prac powinien zabezpieczyć demontowane elementy oraz po zakończeniu rozliczyć z ENERGA Oświetlenie Sp. z o.o. - Dział Realizacji Usług Ciechanów  ul. Mławska 1</w:t>
      </w:r>
      <w:r w:rsidR="00EF44A1">
        <w:rPr>
          <w:rFonts w:ascii="Tahoma" w:hAnsi="Tahoma" w:cs="Tahoma"/>
          <w:sz w:val="24"/>
          <w:szCs w:val="24"/>
        </w:rPr>
        <w:t>.</w:t>
      </w:r>
    </w:p>
    <w:p w:rsidR="006E3412" w:rsidRPr="00AE192C" w:rsidRDefault="00AE192C" w:rsidP="00AE192C">
      <w:pPr>
        <w:pStyle w:val="Akapitzlist"/>
        <w:numPr>
          <w:ilvl w:val="0"/>
          <w:numId w:val="16"/>
        </w:num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6E3412" w:rsidRPr="00AE192C">
        <w:rPr>
          <w:rFonts w:ascii="Tahoma" w:hAnsi="Tahoma" w:cs="Tahoma"/>
          <w:sz w:val="24"/>
          <w:szCs w:val="24"/>
        </w:rPr>
        <w:t>okumentacja powykonawcza powinna być dostarczona w wersji papierowej i elektronicznej oraz powinna zawierać: opis techniczny, schematy, plany, certyfikaty i deklaracje zgodności wbudowanych materiałów. Pomiary skuteczności ochrony przeciwporażeniowej i rezystancji uziemienia szafek oświetleniowych, pomiary natężenia/luminancji oświetlenia dla jezdni, chodników i ścieżek rowerowych, przed i po redukcji mocy, protokół odbioru pomiędzy Inwestorem i Wykonawcą.</w:t>
      </w:r>
    </w:p>
    <w:p w:rsidR="006E3412" w:rsidRPr="0086145C" w:rsidRDefault="00865E92" w:rsidP="00AE192C">
      <w:pPr>
        <w:pStyle w:val="Akapitzlist"/>
        <w:numPr>
          <w:ilvl w:val="0"/>
          <w:numId w:val="16"/>
        </w:numPr>
        <w:ind w:left="426" w:hanging="426"/>
        <w:rPr>
          <w:rFonts w:ascii="Tahoma" w:hAnsi="Tahoma" w:cs="Tahoma"/>
          <w:sz w:val="24"/>
          <w:szCs w:val="24"/>
        </w:rPr>
      </w:pPr>
      <w:r w:rsidRPr="0086145C">
        <w:rPr>
          <w:rFonts w:ascii="Tahoma" w:hAnsi="Tahoma" w:cs="Tahoma"/>
          <w:sz w:val="24"/>
          <w:szCs w:val="24"/>
        </w:rPr>
        <w:t>Po wykonaniu montażu Zamawiający oczekuje od Wykonawcy sporządzenia inwentaryzacji powykonawczej, określającej ilości szafek SOU oraz poziomy zainstalowanej mocy opraw na każdym indywidualnym obwodzie z szafką SOU – celem wystąpienia do OSD z ewentualnym wnioskiem o redukcję mocy zainstalowanej.</w:t>
      </w:r>
    </w:p>
    <w:p w:rsidR="00E04A71" w:rsidRPr="00E04A71" w:rsidRDefault="00E04A71" w:rsidP="00E04A71">
      <w:pPr>
        <w:ind w:left="360"/>
        <w:rPr>
          <w:rFonts w:ascii="Tahoma" w:hAnsi="Tahoma" w:cs="Tahoma"/>
          <w:sz w:val="24"/>
          <w:szCs w:val="24"/>
        </w:rPr>
      </w:pPr>
    </w:p>
    <w:sectPr w:rsidR="00E04A71" w:rsidRPr="00E0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213FB"/>
    <w:multiLevelType w:val="hybridMultilevel"/>
    <w:tmpl w:val="7C1A8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5AAB"/>
    <w:multiLevelType w:val="hybridMultilevel"/>
    <w:tmpl w:val="2ABE1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963F4"/>
    <w:multiLevelType w:val="hybridMultilevel"/>
    <w:tmpl w:val="960CD3A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2136A7"/>
    <w:multiLevelType w:val="hybridMultilevel"/>
    <w:tmpl w:val="0F1E337A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3463F"/>
    <w:multiLevelType w:val="hybridMultilevel"/>
    <w:tmpl w:val="B6A0C12E"/>
    <w:lvl w:ilvl="0" w:tplc="85D6D72E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E5FAA"/>
    <w:multiLevelType w:val="hybridMultilevel"/>
    <w:tmpl w:val="C22EF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44476"/>
    <w:multiLevelType w:val="hybridMultilevel"/>
    <w:tmpl w:val="652CD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E19AF"/>
    <w:multiLevelType w:val="hybridMultilevel"/>
    <w:tmpl w:val="5726C2BE"/>
    <w:lvl w:ilvl="0" w:tplc="4B10F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9E62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9602F"/>
    <w:multiLevelType w:val="hybridMultilevel"/>
    <w:tmpl w:val="851E4A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5D3531"/>
    <w:multiLevelType w:val="hybridMultilevel"/>
    <w:tmpl w:val="3D287FBA"/>
    <w:lvl w:ilvl="0" w:tplc="23FE3270">
      <w:start w:val="3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B3BB6"/>
    <w:multiLevelType w:val="hybridMultilevel"/>
    <w:tmpl w:val="F7342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34421"/>
    <w:multiLevelType w:val="hybridMultilevel"/>
    <w:tmpl w:val="07AE1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85892"/>
    <w:multiLevelType w:val="hybridMultilevel"/>
    <w:tmpl w:val="6D5E4EDA"/>
    <w:lvl w:ilvl="0" w:tplc="9E1C0E2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21935"/>
    <w:multiLevelType w:val="hybridMultilevel"/>
    <w:tmpl w:val="431E3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32AD3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E6A23"/>
    <w:multiLevelType w:val="hybridMultilevel"/>
    <w:tmpl w:val="8E282F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F311D"/>
    <w:multiLevelType w:val="hybridMultilevel"/>
    <w:tmpl w:val="7ABC0E0C"/>
    <w:lvl w:ilvl="0" w:tplc="FD6A4E26">
      <w:start w:val="3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60448"/>
    <w:multiLevelType w:val="hybridMultilevel"/>
    <w:tmpl w:val="B8A89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338936">
    <w:abstractNumId w:val="12"/>
  </w:num>
  <w:num w:numId="2" w16cid:durableId="1138764037">
    <w:abstractNumId w:val="6"/>
  </w:num>
  <w:num w:numId="3" w16cid:durableId="1000036766">
    <w:abstractNumId w:val="14"/>
  </w:num>
  <w:num w:numId="4" w16cid:durableId="1303458540">
    <w:abstractNumId w:val="13"/>
  </w:num>
  <w:num w:numId="5" w16cid:durableId="36783817">
    <w:abstractNumId w:val="17"/>
  </w:num>
  <w:num w:numId="6" w16cid:durableId="564026945">
    <w:abstractNumId w:val="5"/>
  </w:num>
  <w:num w:numId="7" w16cid:durableId="1914581489">
    <w:abstractNumId w:val="11"/>
  </w:num>
  <w:num w:numId="8" w16cid:durableId="1900358344">
    <w:abstractNumId w:val="8"/>
  </w:num>
  <w:num w:numId="9" w16cid:durableId="1459839216">
    <w:abstractNumId w:val="4"/>
  </w:num>
  <w:num w:numId="10" w16cid:durableId="1382906176">
    <w:abstractNumId w:val="1"/>
  </w:num>
  <w:num w:numId="11" w16cid:durableId="835340087">
    <w:abstractNumId w:val="15"/>
  </w:num>
  <w:num w:numId="12" w16cid:durableId="507863568">
    <w:abstractNumId w:val="9"/>
  </w:num>
  <w:num w:numId="13" w16cid:durableId="295526178">
    <w:abstractNumId w:val="3"/>
  </w:num>
  <w:num w:numId="14" w16cid:durableId="419177920">
    <w:abstractNumId w:val="7"/>
  </w:num>
  <w:num w:numId="15" w16cid:durableId="63915395">
    <w:abstractNumId w:val="16"/>
  </w:num>
  <w:num w:numId="16" w16cid:durableId="1562331640">
    <w:abstractNumId w:val="2"/>
  </w:num>
  <w:num w:numId="17" w16cid:durableId="1390566788">
    <w:abstractNumId w:val="10"/>
  </w:num>
  <w:num w:numId="18" w16cid:durableId="104845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5B"/>
    <w:rsid w:val="00024C27"/>
    <w:rsid w:val="000A0F01"/>
    <w:rsid w:val="00104F0A"/>
    <w:rsid w:val="00315E24"/>
    <w:rsid w:val="00360AA4"/>
    <w:rsid w:val="003C0166"/>
    <w:rsid w:val="003C1C41"/>
    <w:rsid w:val="00562FAD"/>
    <w:rsid w:val="005F7F5B"/>
    <w:rsid w:val="006D09C3"/>
    <w:rsid w:val="006E3412"/>
    <w:rsid w:val="007C739E"/>
    <w:rsid w:val="007C7BAE"/>
    <w:rsid w:val="0086145C"/>
    <w:rsid w:val="00865E92"/>
    <w:rsid w:val="0094771A"/>
    <w:rsid w:val="009803E1"/>
    <w:rsid w:val="00AE192C"/>
    <w:rsid w:val="00B62945"/>
    <w:rsid w:val="00C80481"/>
    <w:rsid w:val="00CA6A15"/>
    <w:rsid w:val="00DA31BB"/>
    <w:rsid w:val="00DF6C3F"/>
    <w:rsid w:val="00E04A71"/>
    <w:rsid w:val="00EF13A1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84C8"/>
  <w15:chartTrackingRefBased/>
  <w15:docId w15:val="{A97997B9-2B80-4308-9D20-D9841939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F0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EF13A1"/>
    <w:pPr>
      <w:keepNext/>
      <w:numPr>
        <w:numId w:val="18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paragraph" w:styleId="Nagwek2">
    <w:name w:val="heading 2"/>
    <w:basedOn w:val="Normalny"/>
    <w:next w:val="Tekstpodstawowy"/>
    <w:link w:val="Nagwek2Znak"/>
    <w:qFormat/>
    <w:rsid w:val="00EF13A1"/>
    <w:pPr>
      <w:keepNext/>
      <w:numPr>
        <w:ilvl w:val="1"/>
        <w:numId w:val="18"/>
      </w:numPr>
      <w:suppressAutoHyphens/>
      <w:spacing w:after="0" w:line="240" w:lineRule="auto"/>
      <w:outlineLvl w:val="1"/>
    </w:pPr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EF13A1"/>
    <w:pPr>
      <w:keepNext/>
      <w:numPr>
        <w:ilvl w:val="2"/>
        <w:numId w:val="18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EF13A1"/>
    <w:pPr>
      <w:keepNext/>
      <w:numPr>
        <w:ilvl w:val="3"/>
        <w:numId w:val="18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EF13A1"/>
    <w:pPr>
      <w:numPr>
        <w:ilvl w:val="4"/>
        <w:numId w:val="18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EF13A1"/>
    <w:pPr>
      <w:numPr>
        <w:ilvl w:val="5"/>
        <w:numId w:val="18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Calibri"/>
      <w:b/>
      <w:bCs/>
      <w:kern w:val="1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EF13A1"/>
    <w:pPr>
      <w:numPr>
        <w:ilvl w:val="6"/>
        <w:numId w:val="18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kern w:val="1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EF13A1"/>
    <w:pPr>
      <w:numPr>
        <w:ilvl w:val="7"/>
        <w:numId w:val="18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qFormat/>
    <w:rsid w:val="00EF13A1"/>
    <w:pPr>
      <w:keepNext/>
      <w:numPr>
        <w:ilvl w:val="8"/>
        <w:numId w:val="18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F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13A1"/>
    <w:rPr>
      <w:rFonts w:ascii="Times New Roman" w:eastAsia="Times New Roman" w:hAnsi="Times New Roman" w:cs="Calibri"/>
      <w:b/>
      <w:kern w:val="1"/>
      <w:sz w:val="32"/>
      <w:szCs w:val="20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F13A1"/>
    <w:rPr>
      <w:rFonts w:ascii="Times New Roman" w:eastAsia="Times New Roman" w:hAnsi="Times New Roman" w:cs="Calibri"/>
      <w:b/>
      <w:bCs/>
      <w:kern w:val="1"/>
      <w:sz w:val="26"/>
      <w:szCs w:val="20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EF13A1"/>
    <w:rPr>
      <w:rFonts w:ascii="Arial" w:eastAsia="Times New Roman" w:hAnsi="Arial" w:cs="Arial"/>
      <w:b/>
      <w:bCs/>
      <w:kern w:val="1"/>
      <w:sz w:val="26"/>
      <w:szCs w:val="26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EF13A1"/>
    <w:rPr>
      <w:rFonts w:ascii="Times New Roman" w:eastAsia="Times New Roman" w:hAnsi="Times New Roman" w:cs="Calibri"/>
      <w:b/>
      <w:bCs/>
      <w:kern w:val="1"/>
      <w:sz w:val="28"/>
      <w:szCs w:val="28"/>
      <w:lang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EF13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EF13A1"/>
    <w:rPr>
      <w:rFonts w:ascii="Times New Roman" w:eastAsia="Times New Roman" w:hAnsi="Times New Roman" w:cs="Calibri"/>
      <w:b/>
      <w:bCs/>
      <w:kern w:val="1"/>
      <w:lang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EF13A1"/>
    <w:rPr>
      <w:rFonts w:ascii="Calibri" w:eastAsia="Times New Roman" w:hAnsi="Calibri" w:cs="Calibri"/>
      <w:kern w:val="1"/>
      <w:sz w:val="24"/>
      <w:szCs w:val="24"/>
      <w:lang w:eastAsia="zh-C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EF13A1"/>
    <w:rPr>
      <w:rFonts w:ascii="Calibri" w:eastAsia="Times New Roman" w:hAnsi="Calibri" w:cs="Calibri"/>
      <w:i/>
      <w:iCs/>
      <w:kern w:val="1"/>
      <w:sz w:val="24"/>
      <w:szCs w:val="24"/>
      <w:lang w:eastAsia="zh-C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EF13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  <w14:ligatures w14:val="none"/>
    </w:rPr>
  </w:style>
  <w:style w:type="paragraph" w:styleId="Tekstpodstawowy">
    <w:name w:val="Body Text"/>
    <w:basedOn w:val="Normalny"/>
    <w:link w:val="TekstpodstawowyZnak"/>
    <w:rsid w:val="00EF13A1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F13A1"/>
    <w:rPr>
      <w:rFonts w:ascii="Times New Roman" w:eastAsia="Times New Roman" w:hAnsi="Times New Roman" w:cs="Calibri"/>
      <w:b/>
      <w:bCs/>
      <w:kern w:val="1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</cp:revision>
  <dcterms:created xsi:type="dcterms:W3CDTF">2024-11-06T12:27:00Z</dcterms:created>
  <dcterms:modified xsi:type="dcterms:W3CDTF">2024-11-06T13:21:00Z</dcterms:modified>
</cp:coreProperties>
</file>