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0FF831" Type="http://schemas.openxmlformats.org/officeDocument/2006/relationships/officeDocument" Target="/word/document.xml" /><Relationship Id="coreR50FF83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Załącznik Nr 1 do Załącznika Nr 1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Zasady postępowania przy udzielaniu ze środków budżetu Gminy Opinogóra Górna dotacji celowych dla rodzinnych ogrodów działkowych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1.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Zasady udzielania dotacji: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Rodzinne ogrody działkowe (zwane dalej ROD) położone na terenie gminy Opinogóra Górna mogą wystąpić o uzyskanie z budżetu gminy dotacji celowej na dofinansowanie zadania związanego z ich rozwojem.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Dotacje mogą być przeznaczone na budowę, modernizację infrastruktury ogrodowej obejmującej budynki i budowle, ogrodzenia, drogi, alejki ogrodowe, place zabaw, świetlice, sieci wodociągowe i energetyczne i inne, które mają wpływ na poprawę warunków do korzystania z ROD przez działkowców lub zwiększające dostępność lokalnej społeczności do terenu.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 przypadku poprawnego złożenia wniosków na kwotę większą od zabezpieczonych w budżecie na dany rok w pierwszej kolejności dotacje będą udzielane na budowę i modernizację sieci wodociągowych i energetycznych na terenach ROD.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4. 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Udzielenie dotacji zależy od zabezpieczenia w danym roku środków finansowych w budżecie Gminy Opinogóra Górna.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5. 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Dotacja nie może przekroczyć 80% poniesionych kosztów wnioskowanego o dotację zadania i nie może być większa niż 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>3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0 000,00 zł.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6. 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Udzielenie dotacji dla danego ROD może być dokonywane raz w roku.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2.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Zasady udzielania dotacji: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Dotacje na realizację zadań określonych w § 1 ust. 2 przyznaje się na pisemny wniosek.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Wniosek o udzielenie dotacji musi zawierać wszystkie elementy i informacje jak w załączonym do niniejszego trybu wzorze nr 1.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Wnioski o dotacje będą rozpatrywane według kolejności zgłoszeń.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4. 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 przypadku stwierdzenia braków lub wad we wniosku, za datę złożenia przyjmuje się datę kompletnego uzupełnienia.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5. 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Wnioski rozpatruje komisja powołana przez Wójta Gminy Opinogóra Górna i działająca w oparciu o regulamin pracy komisji nadany przez wójta gminy.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6. 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Ogłoszenie o terminie naboru wniosków i wynikach naboru podaje się do publicznej wiadomości w Biuletynie Informacji Publicznej i na tablicy ogłoszeń Urzędu Gminy w Opinogórze Górnej.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3.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Zawarcie umowy określającej obowiązki w zakresie wykorzystania i rozliczenia dotacji, jest warunkiem udzielenia dotacji.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Przyznana dotacja przekazana na wskazany przez Wnioskodawcę rachunek bankowy w ustalonym terminie nie może być wykorzystana na inny cel niż określony w umowie.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Zastrzega się możliwość kontroli prawidłowości wydatkowania udzielonej dotacji na każdym etapie realizacji dotowanego zadania.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4.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 podlega rozliczeniu finansowemu wg wzoru sprawozdania stanowiącego załącznik nr 2 do niniejszego trybu przy udzielaniu ze środków budżetu Gminy Opinogóra Górna dotacji celowych dla rodzinnych ogrodów działkowych.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Dotowany jest zobowiązany do rozliczenia dotacji w terminie do 30 dni od zrealizowania zadania, nie później jednak jak do 31 października danego roku kalendarzowego.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strali</dc:creator>
  <dcterms:created xsi:type="dcterms:W3CDTF">2023-06-05T13:33:40Z</dcterms:created>
  <cp:lastModifiedBy>Piotr PC. Czyżyk</cp:lastModifiedBy>
  <dcterms:modified xsi:type="dcterms:W3CDTF">2024-10-16T10:10:07Z</dcterms:modified>
  <cp:revision>6</cp:revision>
  <dc:subject>w sprawie ogłoszenia naboru wniosków o przyznanie dotacji celowej na dofinansowanie zadania związanego z rozwojem rodzinnych ogrodów działkowych położonych na terenie gminy Opinogóra Górna</dc:subject>
  <dc:title>Zarządzenie Nr 50/2023 z dnia 5 czerwca 2023 r.</dc:title>
</cp:coreProperties>
</file>